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DE9" w:rsidRDefault="00FE21BF" w:rsidP="00FE21BF">
      <w:r>
        <w:rPr>
          <w:noProof/>
          <w:lang w:eastAsia="es-ES"/>
        </w:rPr>
        <w:drawing>
          <wp:inline distT="0" distB="0" distL="0" distR="0">
            <wp:extent cx="1380226" cy="678006"/>
            <wp:effectExtent l="0" t="0" r="0" b="8255"/>
            <wp:docPr id="700873148" name="Imagen 1" descr="Imagen que contiene dibujo, botiquín de primeros auxilios, fir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73148" name="Imagen 1" descr="Imagen que contiene dibujo, botiquín de primeros auxilios, firmar&#10;&#10;El contenido generado por IA puede ser incorrecto."/>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4021" cy="689695"/>
                    </a:xfrm>
                    <a:prstGeom prst="rect">
                      <a:avLst/>
                    </a:prstGeom>
                  </pic:spPr>
                </pic:pic>
              </a:graphicData>
            </a:graphic>
          </wp:inline>
        </w:drawing>
      </w:r>
      <w:r>
        <w:t xml:space="preserve">                                                                             </w:t>
      </w:r>
      <w:r>
        <w:rPr>
          <w:noProof/>
          <w:lang w:eastAsia="es-ES"/>
        </w:rPr>
        <w:drawing>
          <wp:inline distT="0" distB="0" distL="0" distR="0">
            <wp:extent cx="1471942" cy="601934"/>
            <wp:effectExtent l="0" t="0" r="0" b="8255"/>
            <wp:docPr id="109234567" name="Imagen 2"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4567" name="Imagen 2" descr="Imagen que contiene Icono&#10;&#10;El contenido generado por IA puede ser incorrecto."/>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001" cy="657983"/>
                    </a:xfrm>
                    <a:prstGeom prst="rect">
                      <a:avLst/>
                    </a:prstGeom>
                  </pic:spPr>
                </pic:pic>
              </a:graphicData>
            </a:graphic>
          </wp:inline>
        </w:drawing>
      </w:r>
      <w:r>
        <w:t xml:space="preserve">    </w:t>
      </w:r>
    </w:p>
    <w:p w:rsidR="00FE21BF" w:rsidRDefault="00FE21BF" w:rsidP="00FE21BF"/>
    <w:p w:rsidR="00FE21BF" w:rsidRPr="00FE21BF" w:rsidRDefault="00FE21BF" w:rsidP="00FE21BF">
      <w:pPr>
        <w:jc w:val="center"/>
        <w:rPr>
          <w:b/>
          <w:bCs/>
        </w:rPr>
      </w:pPr>
      <w:r w:rsidRPr="00FE21BF">
        <w:rPr>
          <w:b/>
          <w:bCs/>
        </w:rPr>
        <w:t>COMUNICADO CONJUNTO</w:t>
      </w:r>
    </w:p>
    <w:p w:rsidR="00FE21BF" w:rsidRPr="00FE21BF" w:rsidRDefault="00FE21BF" w:rsidP="00FE21BF">
      <w:pPr>
        <w:jc w:val="center"/>
        <w:rPr>
          <w:b/>
          <w:bCs/>
        </w:rPr>
      </w:pPr>
      <w:r w:rsidRPr="00FE21BF">
        <w:rPr>
          <w:b/>
          <w:bCs/>
        </w:rPr>
        <w:t>FSC-CCOO Mar y FESMC-UGT Mar: ¡NO A LA ASFIXIA DE LA FLOTA DE ARRASTRE DEL MEDITERRÁNEO!</w:t>
      </w:r>
    </w:p>
    <w:p w:rsidR="00FE21BF" w:rsidRPr="00FE21BF" w:rsidRDefault="00FE21BF" w:rsidP="00FE21BF">
      <w:r w:rsidRPr="00FE21BF">
        <w:t>Madrid, 11 de diciembre de 2025</w:t>
      </w:r>
    </w:p>
    <w:p w:rsidR="00FE21BF" w:rsidRDefault="00FE21BF" w:rsidP="00FE21BF">
      <w:pPr>
        <w:ind w:left="0"/>
      </w:pPr>
      <w:r w:rsidRPr="00FE21BF">
        <w:t>Las Federaciones de Servicios a la Ciudadanía (FSC) de CCOO y de Servicios, Movilidad y Consumo (</w:t>
      </w:r>
      <w:proofErr w:type="spellStart"/>
      <w:r w:rsidRPr="00FE21BF">
        <w:t>FeSMC</w:t>
      </w:r>
      <w:proofErr w:type="spellEnd"/>
      <w:r w:rsidRPr="00FE21BF">
        <w:t>) de UGT, a través de sus secciones del Sector del Mar, manifiestan su rotundo rechazo a la propuesta de la Comisión Europea sobre el Reglamento de Posibilidades de Pesca en el Mediterráneo para 2026. Esta propuesta, de salir adelante, abocaría al cese total de la actividad de la flota de arrastre española en el Mediterráneo, poniendo en peligro miles de puestos de trabajo y la supervivencia de comunidades costeras enteras.</w:t>
      </w:r>
    </w:p>
    <w:p w:rsidR="00FE21BF" w:rsidRPr="00FE21BF" w:rsidRDefault="00FE21BF" w:rsidP="00FE21BF">
      <w:pPr>
        <w:ind w:left="0"/>
        <w:rPr>
          <w:b/>
          <w:bCs/>
        </w:rPr>
      </w:pPr>
      <w:r w:rsidRPr="00FE21BF">
        <w:rPr>
          <w:b/>
          <w:bCs/>
        </w:rPr>
        <w:t>Propuesta Inasumible que Amenaza Empleos</w:t>
      </w:r>
    </w:p>
    <w:p w:rsidR="00FE21BF" w:rsidRPr="00FE21BF" w:rsidRDefault="00FE21BF" w:rsidP="00FE21BF">
      <w:pPr>
        <w:ind w:left="0"/>
      </w:pPr>
      <w:r w:rsidRPr="00FE21BF">
        <w:t>La Comisión propone una limitación media de la actividad a 9,6 días de pesca por buque al año. Esta cifra es absolutamente inasumible. Es una medida que equivale a una paralización forzosa y definitiva de la flota, ignorando el principio de viabilidad socioeconómica que debe regir la Política Pesquera Común (PPC).</w:t>
      </w:r>
    </w:p>
    <w:p w:rsidR="00FE21BF" w:rsidRPr="00FE21BF" w:rsidRDefault="00FE21BF" w:rsidP="00FE21BF">
      <w:pPr>
        <w:ind w:left="0"/>
      </w:pPr>
      <w:r w:rsidRPr="00FE21BF">
        <w:t>Desde los sindicatos, empoderamos al Gobierno de España, y en particular al Ministerio de Agricultura, Pesca y Alimentación (MAPA), que lidere con firmeza la oposición a esta iniciativa en el próximo Consejo de Ministros de Pesca de la Unión Europea, que se celebrará los días 11 y 12 de diciembre en Bruselas. Es imperativo que España recabe los apoyos necesarios entre los Estados miembros para frenar esta propuesta destructiva.</w:t>
      </w:r>
    </w:p>
    <w:p w:rsidR="00FE21BF" w:rsidRPr="00FE21BF" w:rsidRDefault="00FE21BF" w:rsidP="00FE21BF">
      <w:pPr>
        <w:ind w:left="0"/>
        <w:rPr>
          <w:b/>
          <w:bCs/>
        </w:rPr>
      </w:pPr>
      <w:r w:rsidRPr="00FE21BF">
        <w:rPr>
          <w:b/>
          <w:bCs/>
        </w:rPr>
        <w:t xml:space="preserve">Contradicción Flagrante: ¿Dónde Queda </w:t>
      </w:r>
      <w:r w:rsidR="00186C0E">
        <w:rPr>
          <w:b/>
          <w:bCs/>
        </w:rPr>
        <w:t>¿</w:t>
      </w:r>
      <w:r w:rsidRPr="00FE21BF">
        <w:rPr>
          <w:b/>
          <w:bCs/>
        </w:rPr>
        <w:t>"El Pescador del Futuro"?</w:t>
      </w:r>
    </w:p>
    <w:p w:rsidR="00FE21BF" w:rsidRPr="00FE21BF" w:rsidRDefault="00FE21BF" w:rsidP="00FE21BF">
      <w:pPr>
        <w:ind w:left="0"/>
      </w:pPr>
      <w:r w:rsidRPr="00FE21BF">
        <w:t>Los sindicatos denunciamos que esta propuesta es una clara muestra de hipocresía política y contradice abiertamente las aspiraciones y estrategias europeas sobre el futuro de la actividad pesquera:</w:t>
      </w:r>
    </w:p>
    <w:p w:rsidR="00FE21BF" w:rsidRPr="00FE21BF" w:rsidRDefault="00FE21BF" w:rsidP="00FE21BF">
      <w:pPr>
        <w:ind w:left="0"/>
      </w:pPr>
      <w:r w:rsidRPr="00FE21BF">
        <w:t>"Mientras la Comisión Europea habla de la necesidad de garantizar el relevo generacional y de diseñar un futuro sostenible y atractivo para 'El Pescador del Futuro', aprueba una propuesta que reduce la actividad a menos de 10 días de faena al año. Esto no es garantizar el futuro, es sentenciar el presente y el futuro del oficio."</w:t>
      </w:r>
    </w:p>
    <w:p w:rsidR="00FE21BF" w:rsidRPr="00FE21BF" w:rsidRDefault="00FE21BF" w:rsidP="00FE21BF">
      <w:pPr>
        <w:ind w:left="0"/>
      </w:pPr>
      <w:r w:rsidRPr="00FE21BF">
        <w:t xml:space="preserve">Una flota a la que se le impide trabajar por ley no puede ser sostenible en el tiempo ni económica ni socialmente. La viabilidad pasa por conjugar los datos de mejora biológica (ya constatados) con un marco de actividad justo que permita la rentabilidad </w:t>
      </w:r>
      <w:r w:rsidRPr="00FE21BF">
        <w:lastRenderedPageBreak/>
        <w:t>de las empresas y, sobre todo, el mantenimiento de los salarios y el empleo de la gente del mar.</w:t>
      </w:r>
    </w:p>
    <w:p w:rsidR="00FE21BF" w:rsidRPr="00FE21BF" w:rsidRDefault="00FE21BF" w:rsidP="00186C0E">
      <w:pPr>
        <w:ind w:left="0"/>
        <w:rPr>
          <w:b/>
          <w:bCs/>
        </w:rPr>
      </w:pPr>
      <w:r w:rsidRPr="00FE21BF">
        <w:rPr>
          <w:b/>
          <w:bCs/>
        </w:rPr>
        <w:t>Datos Científicos y Promesas Incumplidas</w:t>
      </w:r>
    </w:p>
    <w:p w:rsidR="00FE21BF" w:rsidRPr="00FE21BF" w:rsidRDefault="00FE21BF" w:rsidP="00FE21BF">
      <w:pPr>
        <w:ind w:left="0"/>
      </w:pPr>
      <w:r w:rsidRPr="00FE21BF">
        <w:t>Evidencia Científica: La propuesta de la Comisión no se corresponde con los avances constatados en las evaluaciones científicas recientes. Estas evaluaciones indican una mejora en el estado de los recursos pesqueros de la zona, fruto del esfuerzo y sacrificio ya realizado por el sector.</w:t>
      </w:r>
    </w:p>
    <w:p w:rsidR="00FE21BF" w:rsidRPr="00FE21BF" w:rsidRDefault="00FE21BF" w:rsidP="00FE21BF">
      <w:pPr>
        <w:ind w:left="0"/>
      </w:pPr>
      <w:r w:rsidRPr="00FE21BF">
        <w:t>Contradicción: Cuestionamos que la Comisión utilice la situación de la cigala como argumento principal para una reducción tan extrema, especialmente cuando esta especie ha tenido un papel marginal en el diseño del Plan de Gestión y representa un porcentaje ínfimo de las capturas totales en regiones clave (0,4% en Comunidad Valenciana, 2,6% en Cataluña).</w:t>
      </w:r>
    </w:p>
    <w:p w:rsidR="00FE21BF" w:rsidRPr="00FE21BF" w:rsidRDefault="00FE21BF" w:rsidP="00FE21BF">
      <w:pPr>
        <w:ind w:left="0"/>
      </w:pPr>
      <w:r w:rsidRPr="00FE21BF">
        <w:t>Engaño Político: Rechazamos que el planteamiento actual vaya en contra de las promesas del propio Comisario de reconocer y compensar con más días de actividad el trabajo realizado por los pescadores.</w:t>
      </w:r>
    </w:p>
    <w:p w:rsidR="00FE21BF" w:rsidRPr="00FE21BF" w:rsidRDefault="00FE21BF" w:rsidP="00FE21BF">
      <w:pPr>
        <w:ind w:left="0"/>
        <w:rPr>
          <w:b/>
          <w:bCs/>
        </w:rPr>
      </w:pPr>
      <w:r w:rsidRPr="00FE21BF">
        <w:rPr>
          <w:b/>
          <w:bCs/>
        </w:rPr>
        <w:t>Sostenibilidad SÍ, Desmantelamiento NO</w:t>
      </w:r>
    </w:p>
    <w:p w:rsidR="00FE21BF" w:rsidRPr="00FE21BF" w:rsidRDefault="00FE21BF" w:rsidP="00FE21BF">
      <w:pPr>
        <w:ind w:left="0"/>
      </w:pPr>
      <w:r w:rsidRPr="00FE21BF">
        <w:t>El sector pesquero, con la representación activa de sus trabajadores y trabajadoras, ha cumplido y participado en la aplicación de medidas de gestión y control, incluyendo las drásticas reducciones de esfuerzo de años anteriores (como la de 2025, modulada a 130 días tras medidas compensatorias).</w:t>
      </w:r>
    </w:p>
    <w:p w:rsidR="00FE21BF" w:rsidRPr="00FE21BF" w:rsidRDefault="00FE21BF" w:rsidP="00FE21BF">
      <w:pPr>
        <w:ind w:left="0"/>
        <w:rPr>
          <w:b/>
          <w:bCs/>
        </w:rPr>
      </w:pPr>
      <w:r w:rsidRPr="00FE21BF">
        <w:rPr>
          <w:b/>
          <w:bCs/>
        </w:rPr>
        <w:t>FSC-CCOO Mar y FESMC-UGT Mar recuerdan que:</w:t>
      </w:r>
    </w:p>
    <w:p w:rsidR="00FE21BF" w:rsidRPr="00FE21BF" w:rsidRDefault="00FE21BF" w:rsidP="00FE21BF">
      <w:pPr>
        <w:ind w:left="0"/>
      </w:pPr>
      <w:r w:rsidRPr="00FE21BF">
        <w:t>"El mantenimiento de la actividad debe conciliar la sostenibilidad biológica con la viabilidad socioeconómica. Las decisiones europeas deben estar basadas en la mejor evidencia científica disponible y no deben abocar a la desaparición de la flota y la destrucción de su tejido socioeconómico en nuestras comunidades costeras."</w:t>
      </w:r>
    </w:p>
    <w:p w:rsidR="00FE21BF" w:rsidRDefault="00FE21BF" w:rsidP="00FE21BF">
      <w:pPr>
        <w:ind w:left="0"/>
      </w:pPr>
      <w:r w:rsidRPr="00FE21BF">
        <w:t>Llamamos a la unidad de acción de todo el sector pesquero español y a la sensibilidad política de nuestros representantes para asegurar un acuerdo que garantice un marco de actividad sostenible, justo y viable para el futuro de la flota de arrastre del Mediterráneo.</w:t>
      </w:r>
    </w:p>
    <w:p w:rsidR="00B04476" w:rsidRPr="00FE21BF" w:rsidRDefault="00B04476" w:rsidP="00FE21BF">
      <w:pPr>
        <w:ind w:left="0"/>
        <w:rPr>
          <w:b/>
          <w:bCs/>
        </w:rPr>
      </w:pPr>
      <w:r>
        <w:rPr>
          <w:b/>
          <w:bCs/>
        </w:rPr>
        <w:t>UGT y CCOO están alineados con los interlocutores sociales europeos EUROPECHE, COGECA y ETF en la denuncia de los riesgos que de aprobarse esta propuesta de la comisión supone la perdida de empleos</w:t>
      </w:r>
      <w:r w:rsidR="00186C0E">
        <w:rPr>
          <w:b/>
          <w:bCs/>
        </w:rPr>
        <w:t xml:space="preserve">, de la seguridad </w:t>
      </w:r>
      <w:proofErr w:type="spellStart"/>
      <w:r w:rsidR="00186C0E">
        <w:rPr>
          <w:b/>
          <w:bCs/>
        </w:rPr>
        <w:t>alimenteria</w:t>
      </w:r>
      <w:proofErr w:type="spellEnd"/>
      <w:r>
        <w:rPr>
          <w:b/>
          <w:bCs/>
        </w:rPr>
        <w:t xml:space="preserve"> y de la sostenibilidad económica del sector</w:t>
      </w:r>
    </w:p>
    <w:p w:rsidR="00186C0E" w:rsidRDefault="00413353" w:rsidP="00186C0E">
      <w:hyperlink r:id="rId6" w:history="1">
        <w:r w:rsidR="00B04476" w:rsidRPr="00D12FA6">
          <w:rPr>
            <w:rStyle w:val="Hipervnculo"/>
          </w:rPr>
          <w:t>https://www.etf-europe.org/eu-social-partners-for-fisheries-warn-new-mediterranean-fishing-proposal-threatens-thousands-of-jobs-and-entire-coastal-communities/</w:t>
        </w:r>
      </w:hyperlink>
    </w:p>
    <w:p w:rsidR="00186C0E" w:rsidRDefault="00186C0E" w:rsidP="00186C0E">
      <w:pPr>
        <w:spacing w:before="0" w:after="0" w:line="240" w:lineRule="auto"/>
      </w:pPr>
    </w:p>
    <w:p w:rsidR="00186C0E" w:rsidRDefault="00B04476" w:rsidP="00186C0E">
      <w:pPr>
        <w:spacing w:before="0" w:after="0" w:line="240" w:lineRule="auto"/>
      </w:pPr>
      <w:r>
        <w:t xml:space="preserve">Datos contacto. </w:t>
      </w:r>
    </w:p>
    <w:p w:rsidR="00B04476" w:rsidRDefault="00B04476" w:rsidP="00186C0E">
      <w:pPr>
        <w:spacing w:before="0" w:after="0" w:line="240" w:lineRule="auto"/>
      </w:pPr>
      <w:r>
        <w:t xml:space="preserve">Juan Manuel Trujillo Castillo </w:t>
      </w:r>
      <w:r w:rsidR="00186C0E">
        <w:t>Mar FSC-CCOO 650377013</w:t>
      </w:r>
    </w:p>
    <w:p w:rsidR="00186C0E" w:rsidRPr="00186C0E" w:rsidRDefault="00186C0E" w:rsidP="00186C0E">
      <w:pPr>
        <w:spacing w:before="0" w:after="0" w:line="240" w:lineRule="auto"/>
        <w:rPr>
          <w:lang w:val="pt-PT"/>
        </w:rPr>
      </w:pPr>
      <w:r w:rsidRPr="00186C0E">
        <w:rPr>
          <w:lang w:val="pt-PT"/>
        </w:rPr>
        <w:t>Jose Manuel Blanco Lojo        Mar FESM</w:t>
      </w:r>
      <w:r>
        <w:rPr>
          <w:lang w:val="pt-PT"/>
        </w:rPr>
        <w:t>C-UGT 616925308</w:t>
      </w:r>
    </w:p>
    <w:p w:rsidR="00186C0E" w:rsidRPr="00186C0E" w:rsidRDefault="00186C0E" w:rsidP="00186C0E">
      <w:pPr>
        <w:spacing w:before="0" w:after="0" w:line="240" w:lineRule="auto"/>
        <w:rPr>
          <w:lang w:val="pt-PT"/>
        </w:rPr>
      </w:pPr>
    </w:p>
    <w:p w:rsidR="00186C0E" w:rsidRPr="00186C0E" w:rsidRDefault="00186C0E" w:rsidP="00B04476">
      <w:pPr>
        <w:spacing w:before="0" w:after="0" w:line="240" w:lineRule="auto"/>
        <w:rPr>
          <w:lang w:val="pt-PT"/>
        </w:rPr>
      </w:pPr>
    </w:p>
    <w:sectPr w:rsidR="00186C0E" w:rsidRPr="00186C0E" w:rsidSect="00FE21B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E21BF"/>
    <w:rsid w:val="00186C0E"/>
    <w:rsid w:val="00207C29"/>
    <w:rsid w:val="003538EE"/>
    <w:rsid w:val="00413353"/>
    <w:rsid w:val="005033B3"/>
    <w:rsid w:val="00854590"/>
    <w:rsid w:val="00B04476"/>
    <w:rsid w:val="00EE3DE9"/>
    <w:rsid w:val="00F40872"/>
    <w:rsid w:val="00FE21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s-ES" w:eastAsia="en-US" w:bidi="ar-SA"/>
      </w:rPr>
    </w:rPrDefault>
    <w:pPrDefault>
      <w:pPr>
        <w:spacing w:before="34" w:line="480" w:lineRule="auto"/>
        <w:ind w:left="936" w:right="117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53"/>
    <w:pPr>
      <w:widowControl w:val="0"/>
      <w:spacing w:after="200" w:line="276" w:lineRule="auto"/>
    </w:pPr>
  </w:style>
  <w:style w:type="paragraph" w:styleId="Ttulo1">
    <w:name w:val="heading 1"/>
    <w:basedOn w:val="Normal"/>
    <w:next w:val="Normal"/>
    <w:link w:val="Ttulo1Car"/>
    <w:uiPriority w:val="9"/>
    <w:qFormat/>
    <w:rsid w:val="00FE2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2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21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21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21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21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21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21BF"/>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21BF"/>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1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21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21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21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21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21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21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21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21BF"/>
    <w:rPr>
      <w:rFonts w:eastAsiaTheme="majorEastAsia" w:cstheme="majorBidi"/>
      <w:color w:val="272727" w:themeColor="text1" w:themeTint="D8"/>
    </w:rPr>
  </w:style>
  <w:style w:type="paragraph" w:styleId="Ttulo">
    <w:name w:val="Title"/>
    <w:basedOn w:val="Normal"/>
    <w:next w:val="Normal"/>
    <w:link w:val="TtuloCar"/>
    <w:uiPriority w:val="10"/>
    <w:qFormat/>
    <w:rsid w:val="00FE21B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21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21BF"/>
    <w:pPr>
      <w:numPr>
        <w:ilvl w:val="1"/>
      </w:numPr>
      <w:spacing w:after="160"/>
      <w:ind w:left="936"/>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21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21B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E21BF"/>
    <w:rPr>
      <w:i/>
      <w:iCs/>
      <w:color w:val="404040" w:themeColor="text1" w:themeTint="BF"/>
    </w:rPr>
  </w:style>
  <w:style w:type="paragraph" w:styleId="Prrafodelista">
    <w:name w:val="List Paragraph"/>
    <w:basedOn w:val="Normal"/>
    <w:uiPriority w:val="34"/>
    <w:qFormat/>
    <w:rsid w:val="00FE21BF"/>
    <w:pPr>
      <w:ind w:left="720"/>
      <w:contextualSpacing/>
    </w:pPr>
  </w:style>
  <w:style w:type="character" w:styleId="nfasisintenso">
    <w:name w:val="Intense Emphasis"/>
    <w:basedOn w:val="Fuentedeprrafopredeter"/>
    <w:uiPriority w:val="21"/>
    <w:qFormat/>
    <w:rsid w:val="00FE21BF"/>
    <w:rPr>
      <w:i/>
      <w:iCs/>
      <w:color w:val="0F4761" w:themeColor="accent1" w:themeShade="BF"/>
    </w:rPr>
  </w:style>
  <w:style w:type="paragraph" w:styleId="Citadestacada">
    <w:name w:val="Intense Quote"/>
    <w:basedOn w:val="Normal"/>
    <w:next w:val="Normal"/>
    <w:link w:val="CitadestacadaCar"/>
    <w:uiPriority w:val="30"/>
    <w:qFormat/>
    <w:rsid w:val="00FE2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21BF"/>
    <w:rPr>
      <w:i/>
      <w:iCs/>
      <w:color w:val="0F4761" w:themeColor="accent1" w:themeShade="BF"/>
    </w:rPr>
  </w:style>
  <w:style w:type="character" w:styleId="Referenciaintensa">
    <w:name w:val="Intense Reference"/>
    <w:basedOn w:val="Fuentedeprrafopredeter"/>
    <w:uiPriority w:val="32"/>
    <w:qFormat/>
    <w:rsid w:val="00FE21BF"/>
    <w:rPr>
      <w:b/>
      <w:bCs/>
      <w:smallCaps/>
      <w:color w:val="0F4761" w:themeColor="accent1" w:themeShade="BF"/>
      <w:spacing w:val="5"/>
    </w:rPr>
  </w:style>
  <w:style w:type="character" w:styleId="Hipervnculo">
    <w:name w:val="Hyperlink"/>
    <w:basedOn w:val="Fuentedeprrafopredeter"/>
    <w:uiPriority w:val="99"/>
    <w:unhideWhenUsed/>
    <w:rsid w:val="00B04476"/>
    <w:rPr>
      <w:color w:val="467886" w:themeColor="hyperlink"/>
      <w:u w:val="single"/>
    </w:rPr>
  </w:style>
  <w:style w:type="character" w:customStyle="1" w:styleId="UnresolvedMention">
    <w:name w:val="Unresolved Mention"/>
    <w:basedOn w:val="Fuentedeprrafopredeter"/>
    <w:uiPriority w:val="99"/>
    <w:semiHidden/>
    <w:unhideWhenUsed/>
    <w:rsid w:val="00B04476"/>
    <w:rPr>
      <w:color w:val="605E5C"/>
      <w:shd w:val="clear" w:color="auto" w:fill="E1DFDD"/>
    </w:rPr>
  </w:style>
  <w:style w:type="paragraph" w:styleId="Textodeglobo">
    <w:name w:val="Balloon Text"/>
    <w:basedOn w:val="Normal"/>
    <w:link w:val="TextodegloboCar"/>
    <w:uiPriority w:val="99"/>
    <w:semiHidden/>
    <w:unhideWhenUsed/>
    <w:rsid w:val="005033B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f-europe.org/eu-social-partners-for-fisheries-warn-new-mediterranean-fishing-proposal-threatens-thousands-of-jobs-and-entire-coastal-communities/"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CCOO PV</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Trujillo</dc:creator>
  <cp:lastModifiedBy>manuel.martinez</cp:lastModifiedBy>
  <cp:revision>2</cp:revision>
  <dcterms:created xsi:type="dcterms:W3CDTF">2025-12-11T12:12:00Z</dcterms:created>
  <dcterms:modified xsi:type="dcterms:W3CDTF">2025-12-11T12:12:00Z</dcterms:modified>
</cp:coreProperties>
</file>